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349</w:t>
      </w:r>
    </w:p>
    <w:p>
      <w:r>
        <w:t>Bundesgericht (BGE), 1989-10-06, DE</w:t>
      </w:r>
    </w:p>
    <w:p>
      <w:r>
        <w:rPr>
          <w:b/>
        </w:rPr>
        <w:t xml:space="preserve">Quelle: </w:t>
      </w:r>
      <w:r>
        <w:t>https://mcp.opencaselaw.ch/entscheid/bge_115 II 349</w:t>
      </w:r>
    </w:p>
    <w:p>
      <w:r>
        <w:t>FR: ATF 115 II 349</w:t>
      </w:r>
    </w:p>
    <w:p>
      <w:r>
        <w:t>IT: DTF 115 II 349</w:t>
      </w:r>
    </w:p>
    <w:p>
      <w:pPr>
        <w:pStyle w:val="Heading2"/>
      </w:pPr>
      <w:r>
        <w:t>Regeste</w:t>
      </w:r>
    </w:p>
    <w:p>
      <w:r>
        <w:t>Regeste Anfechtung eines Kollokationsplans. Umfang der Sicherung für verfallene Zinsen beim Schuldbrief (Art. 818 Abs. 1 Ziff. 3 ZGB). Einreden des Schuldners (Art. 872 ZGB). 1. Es ist zulässig, Schuldbriefe sicherheitshalber zu Eigentum zu übertragen und zu vereinbaren, dass diese bis zum Betrag des Schuldbriefkapitals sowie des laufenden und dreier verfallener Jahreszinsen beliebige Forderungen sicherstellen sollen. Sofern eine Schuld in der entsprechenden Höhe besteht, dienen die Schuldbriefe diesfalls der Sicherung dieses gesamten Betrages, selbst wenn die verfallenen Zinsen aus dieser Schuld bezahlt sind (E. 3 und 4a-c). 2. Der Bundesbeschluss vom 6. Oktober 1989 über eine Pfandbelastungsgrenze für nichtlandwirtschaftliche Grundstücke hat keinen Einfluss auf die Gültigkeit einer Sicherungsvereinbarung, welche vor seinem Inkrafttreten geschlossen wurde (E. 4d).</w:t>
      </w:r>
    </w:p>
    <w:p>
      <w:pPr>
        <w:pStyle w:val="Heading2"/>
      </w:pPr>
      <w:r>
        <w:t>Erwägungen</w:t>
      </w:r>
    </w:p>
    <w:p>
      <w:r>
        <w:rPr>
          <w:b/>
        </w:rPr>
        <w:t>E. 2</w:t>
      </w:r>
    </w:p>
    <w:p>
      <w:r>
        <w:t>Es ist unbestritten, dass aufgrund der Vereinbarung zwischen der Klägerin und M. Karpf vom 29. November 1984 das Eigentum an den dort aufgeführten vier Inhaberschuldbriefen im Gesamtbetrag von 1,6 Millionen Franken sicherungshalber auf die BGE 115 II 349 S. 353 Klägerin übergegangen und dass diese damit Gläubigerin der Schuldbriefforderungen geworden ist. Die Sicherungsübereignung der vier Schuldbriefe sollte nach der erwähnten Vereinbarung der Sicherung von Forderungen irgendwelcher Art gegenüber M. Karpf aus bereits abgeschlossenen oder im Rahmen der Geschäftsbeziehungen künftig abzuschliessenden Verträgen dienen. Die Klägerin machte im Konkurs über den Nachlass ihres Schuldners die ihr aus der Sicherungsübereignung der Schuldbriefe zustehenden Rechte hinsichtlich der beiden, M. Karpf gewährten Darlehen von Fr. 1'200'000.-- und Fr. 800'000.-- geltend, die in der Kreditbestätigung der Klägerin an M. Karpf vom 10. Dezember 1984 als I. und II. Hypothek auf der Liegenschaft Rossacher 8 in Zumikon bezeichnet wurden. Unbestritten ist ebenfalls, dass die Forderung, die der Klägerin aus der Gewährung dieser beiden Darlehen zusteht, gesamthaft höher ist als jene, die sie aufgrund der ihr sicherungshalber übereigneten vier Schuldbriefe angemeldet hat. Es geht im vorliegenden Fall somit nicht darum, dass die Klägerin aus dem Sicherungsverhältnis rein betragsmässig mehr fordern wollte, als ihr aus dem Grundverhältnis, d.h. der Darlehensgewährung, zusteht. Umstritten ist hingegen, ob die Klägerin ausser den Schuldbriefforderungen im Gesamtbetrag von 1,6 Millionen Franken auch die von M. Karpf in der Sicherungsvereinbarung zusätzlich anerkannten drei verfallenen Jahreszinsen und den laufenden Zins von je 7% pro Jahr auf dem Schuldbriefkapital geltend machen kann, obwohl der im Grundverhältnis noch offene Darlehenszins erheblich geringer ist; M. Karpf hatte die Darlehenszinsen bis auf den letzten Halbjahreszins und den laufenden Zins bezahlt. Es fragt sich mit andern Worten, ob der sich aus den sicherungshalber übertragenen Schuldbriefen ergebende Zins auch zur Deckung einer Kapitalforderung aus dem Grundverhältnis beansprucht werden kann. Die Beklagte ist im Unterschied zur Klägerin und zu den kantonalen Instanzen der Auffassung, dass die Geltendmachung der sicherungshalber anerkannten Zinsen aus den Schuldbriefen gegen obligationenrechtliche und sachenrechtliche Regeln verstosse, soweit die Schuldbriefzinsen die effektiven Zinsschulden aus dem Grundverhältnis überstiegen.</w:t>
      </w:r>
    </w:p>
    <w:p>
      <w:r>
        <w:rPr>
          <w:b/>
        </w:rPr>
        <w:t>E. 3</w:t>
      </w:r>
    </w:p>
    <w:p>
      <w:r>
        <w:t>Es trifft zu, dass die auf den Schuldbriefforderungen geschuldeten Zinsen, wie in der Berufung ausgeführt wird, nicht in den Titeln selber verbrieft sind. In den Schuldbriefen sind nur die Zinspflicht als solche entsprechend "den mit dem Gläubiger BGE 115 II 349 S. 354 vereinbarten Bestimmungen" und der Maximalzinsfuss, der 8% beträgt, geregelt. Zinscoupons fehlen. Damit sind die Schuldbriefzinsen im Unterschied zum Schuldbriefkapital nicht wertpapierrechtlich verurkundet. Sie beruhen vielmehr auf einer separaten Parteiabrede, nämlich der Sicherungsvereinbarung vom 29. November 1984 zwischen der Klägerin und M. Karpf, wo dieser eine Zinsschuld im Umfang von drei verfallenen Jahreszinsen und dem laufenden Zins zu je 7% anerkannt hat. In der Berufung wird daraus abgeleitet, die Forderung auf Schuldbriefzinsen sei anders als die in den Titeln verbriefte Kapitalforderung nicht materiell abstrakt, sondern von einem Grundverhältnis abhängig. Die Zinsen dürften deshalb nicht gleich behandelt werden wie diese Kapitalforderung. In der Berufungsantwort wird mit Recht darauf hingewiesen, dass auch die Schuldbriefforderungen als solche nicht in dem Sinne abstrakter Natur sind, dass sie von einem sie begründenden Schuldverhältnis völlig unabhängig wären. Die Beklagte geht in Übereinstimmung mit der Vorinstanz selber zutreffend davon aus, die Klägerin sei bezüglich der von ihr sicherungshalber erworbenen Titel als erste Nehmerin zu betrachten, weshalb die dem Schuldner persönlich gegenüber der Gläubigerin zustehenden Einreden gemäss Art. 872 ZGB im Kollokationsverfahren erhoben werden könnten. Auch im Zusammenhang mit den Schuldbriefforderungen kann daher unbestrittenermassen auf die Sicherungsvereinbarung zwischen der Klägerin und M. Karpf zurückgegriffen und es können alle Einreden aus diesem Grundverhältnis erhoben werden. Ein Unterschied zu den Schuldbriefzinsen besteht nur insofern, als sich die Schuldpflicht für das Schuldbriefkapital direkt aus den Schuldbriefen ergibt, währenddem die Schuldbriefzinsen zur Hauptsache auf der Sicherungsvereinbarung zwischen der Klägerin und M. Karpf beruhen, wo der Zinssatz auf 7% festgelegt und die Verzinsung in zeitlicher Hinsicht näher umschrieben wird. In der Berufung wird nun die Auffassung vertreten, dass M. Karpf sich in der Sicherungsvereinbarung nicht etwa zur Verzinsung der Schuldbriefforderungen verpflichtet, sondern lediglich eine persönliche Schuldpflicht im Umfange dreier verfallener Jahreszinsen und des laufenden Zinses, berechnet zu 7% auf einem Kapital von 1,6 Millionen Franken, als Kapitalschuld anerkannt habe. Hiefür spreche neben dem Wortlaut der Vereinbarung der Umstand, dass im Zeitpunkt des Abschlusses der Sicherungsvereinbarung keine Zinsen aus den auf die Klägerin übertragenen BGE 115 II 349 S. 355 Schuldbriefen offen gewesen seien (was von der Klägerin allerdings bestritten wird); einer der Schuldbriefe sei im übrigen damals erst etwas mehr als ein Jahr alt gewesen, weshalb noch gar nicht drei Jahreszinsen hätten verfallen sein können. In der von M. Karpf hinsichtlich der Schuldbriefzinsen anerkannten Schuld sei somit ein Schuldbekenntnis ohne Angabe des Verpflichtungsgrundes im Sinne von Art. 17 OR zu erblicken; die Worte "Jahreszinsen" bzw. "laufender Zins" hätten nicht die Bedeutung der Angabe des Verpflichtungsgrundes, sondern sie dienten vielmehr nur der umfangmässigen Festlegung des Schuldbetrages. Es bereitet in der Tat Mühe, in der Anerkennung der Schuldbriefzinsen durch M. Karpf eine eigentliche Verpflichtung zur Bezahlung von Zinsen zu erblicken. Unter Zins wird gemeinhin die Vergütung verstanden, "welche ein Gläubiger zu fordern hat für die Entbehrung einer ihm geschuldeten Geldsumme, sofern diese Vergütung sich nach der Höhe der geschuldeten Summe und der Dauer der Schuld bestimmt" (VON TUHR/PETER, Allgemeiner Teil des Schweiz. OR, Zürich 1974, S. 68; BGE 52 II 233 E. 3). Eine Zinsschuld liegt somit nur vor, wenn nicht nur eine Geldschuld vorhanden ist, sondern auch die Zeitdauer feststeht, während welcher der Gläubiger das Kapital entbehrt und entsprechend der sich die Vergütung berechnet. Nach dem Wortlaut der Sicherungsvereinbarung kann die Klägerin drei verfallene Jahreszinsen auf den Schuldbriefforderungen und den laufenden Zins auch für Forderungen geltend machen, die ihren Grund nicht in der Vorenthaltung von Kapital haben und die nicht in der entsprechenden Zeitspanne entstanden sind. Im Sinne des Sicherungszwecks der betreffenden Vereinbarung geht es vielmehr darum, den in den Schuldbriefen verurkundeten Kapitalbetrag, der anstelle irgendwelcher Forderungen gegenüber dem Schuldner geltend gemacht werden kann, um den Betrag dreier verfallener Jahreszinsen zu 7% sowie des laufenden Zinses zu erhöhen. Die Bezeichnung "Zins" dient damit im Grunde genommen, wie die Beklagte zutreffend geltend macht, nur der umfangmässigen Bestimmung des zum Zwecke der Sicherung insgesamt einsetzbaren Kapitalbetrages. Daraus ergibt sich jedoch nicht zwingend die in der Berufung aus der Verneinung des Zinscharakters gezogene Konsequenz, nämlich dass die in der Sicherungsvereinbarung anerkannte Schuld hinsichtlich der Schuldbriefzinsen nur in dem Umfange Bestand haben könne, als im Grundverhältnis tatsächlich eine Zinsschuld bestehe. Nach Art. 18 Abs. 1 OR ist bei der Beurteilung eines Vertrages BGE 115 II 349 S. 356 vielmehr der übereinstimmende wirkliche Wille zu beachten und nicht die unrichtige Bezeichnung oder Ausdrucksweise. Die unzutreffende Verwendung der Bezeichnung "Zins" in der Sicherungsvereinbarung schadet der Klägerin daher nicht, sofern der Wille der Parteien nicht darauf gerichtet war, eine eigentliche Zinsabrede zu treffen, sondern nur den Umfang des als Sicherheit dienenden Gesamtbetrages festzulegen. Davon kann aufgrund des Sicherungszweckes, der mit der betreffenden Vereinbarung verfolgt wurde, ausgegangen werden. Die zur Sicherung der Forderungen aus dem Grundverhältnis dienenden Schuldbriefforderungen sollten offensichtlich um die im Rahmen von Art. 818 Abs. 1 Ziff. 3 ZGB pfandberechtigten Zinsforderungen erhöht werden. Es besteht kein Grund zur Annahme, dass M. Karpf diese Ausdehnung des Umfanges der Sicherung durch die an die Klägerin übergebenen Schuldbriefe nicht hätte erkennen können. Eine andere Frage ist hingegen, ob eine solche Ausdehnung des Sicherungsumfanges auch mit den Bestimmungen des Sachenrechts vereinbar ist und zu einer entsprechenden Erweiterung des Umfanges der Pfandsicherung führen kann.</w:t>
      </w:r>
    </w:p>
    <w:p>
      <w:r>
        <w:rPr>
          <w:b/>
        </w:rPr>
        <w:t>E. 4</w:t>
      </w:r>
    </w:p>
    <w:p>
      <w:r>
        <w:t>In der Berufung wird geltend gemacht, die in Art. 818 Abs. 1 ZGB vorgesehene Ausdehnung der Pfandsicherung über die Kapitalforderung hinaus habe insofern zwingenden Charakter, als sie nicht durch Parteivereinbarung auf andere Sachverhalte erstreckt werden könne. Eine solche über das Gesetz hinausgehende Erweiterung der Pfandsicherung lasse sich aber nur vermeiden, wenn das gesetzliche Pfandrecht einzig für solche Forderungen vorbehalten bleibe, die den in Art. 818 Abs. 1 ZGB erwähnten Anspruchstypen von ihrer Entstehung her entsprächen. Das in Art. 818 Abs. 1 Ziff. 3 ZGB vorgesehene Zinsenpfandrecht könne daher nur für tatsächlich als Zinsen entstandene Forderungen in Anspruch genommen werden. Bloss sicherungshalber begründete Forderungen wie die hier in Betracht fallenden Schuldbriefforderungen seien nicht zinstragend, da ihnen keine vom Schuldner abzugeltende Kapitalüberlassung zugrunde liege. Zinstragend seien allein die aufgrund der Sicherungsvereinbarung gesicherten Forderungen - hier also die als Hypotheken bezeichneten Darlehen -, für die M. Karpf aber die Zinsen bis auf den letzten Halbjahreszins und den laufenden Zins bezahlt habe. Nur im Umfang der aus dem Grundverhältnis noch offenen Zinsschuld könne daher das gesetzliche Pfandprivileg des Art. 818 Abs. 1 Ziff. 3 ZGB in Anspruch genommen werden. BGE 115 II 349 S. 357 Es ist der Beklagten zuzugestehen, dass es sich bei den von der Klägerin geltend gemachten Schuldbriefzinsen aus den bereits dargelegten Gründen materiell nicht um echte Zinsforderungen handelt, sondern dass diese lediglich in abstrakter Weise wie Zinsen berechnet werden. Echte Zinsen können nur im Grundverhältnis zwischen den Beteiligten entstehen. Es fragt sich, ob dieser Umstand dazu führen muss, dass solche "Zinsen" der Pfandsicherung gemäss Art. 818 Abs. 1 Ziff. 3 ZGB nicht teilhaftig werden können. a) Die Vorinstanz und die Klägerin haben mit Recht darauf hingewiesen, dass das Bundesgericht bei der Verpfändung von Eigentümergrundpfandtiteln eine Erstreckung der Pfandsicherung auf Zinsen, denen keine echte Zinsschuld zugrunde lag, stets zugelassen hat. Es ist in diesem Zusammenhang insbesondere auf BGE 44 II 252 ff. zu verweisen, wo diese Praxis näher begründet wurde. In BGE 51 II 152 ff. ist der zitierte Entscheid nicht nur vollumfänglich bestätigt, sondern es ist darin ausdrücklich als zulässig bezeichnet worden, dass Schuldbriefzinsen nicht nur zur Sicherung einer Darlehenszinsforderung, sondern auch zur Befriedigung für eine Kapitalforderung aus Darlehen dienen können (a.a.O., S. 154). Auf diese alte Rechtsprechung ist auch in neueren Entscheiden ohne Vorbehalt immer wieder verwiesen worden ( BGE 104 III 35 f., BGE 102 III 93 E. 3a). Entgegen den Ausführungen in der Berufung kann die Vergleichbarkeit dieser Tatbestände mit dem hier zu beurteilenden Fall nicht verneint werden. In beiden Fällen geht es um die Frage, ob bei der Behandlung von Schuldbriefzinsen in der Zwangsvollstreckung etwas darauf ankommen kann, dass den geltend gemachten Zinsen keine echten Zinsforderungen zugrunde liegen. Die Unterschiede zwischen der Faustpfandverwertung von Schuldbriefen und der Grundpfandverwertung rechtfertigen eine unterschiedliche Beurteilung dieser Frage entgegen der Auffassung der Beklagten nicht. In der Berufung wird an der zitierten Rechtsprechung betreffend die Behandlung der Zinsen bei der Verpfändung von Eigentümerschuldbriefen beanstandet, sie habe nur den Gesichtspunkt des Schutzes der nachfolgenden Grundpfandgläubiger berücksichtigt. Weder das Bundesgericht noch einer der ihm seither kritiklos folgenden Autoren habe sich aber je die Frage gestellt, ob diese Praxis auch mit dem Prinzip der öffentlichen Beurkundung von Pfandbestellungsverträgen und dem Eintragungsprinzip vereinbar sei. Ein öffentlich beurkundeter Pfandvertrag gemäss Art. 799 BGE 115 II 349 S. 358 Abs. 2 ZGB ist indessen für die Errichtung eines Schuldbriefes nicht immer erforderlich. Der Grundeigentümer kann einen Eigentümer- oder Inhaberschuldbrief durch einfache schriftliche Anmeldung beim Grundbuchamt zur Entstehung bringen (Art. 20 Grundbuchverordnung; BGE 71 II 265 E. 2). Im übrigen ist nicht einzusehen, weshalb die hier zu beurteilende Frage massgebend vom Prinzip der öffentlichen Beurkundung und vom Eintragungsprinzip beherrscht werden soll. Die in Art. 818 Abs. 1 Ziff. 3 ZGB geregelte Pfandsicherung für Zinsen stellt, wovon auch die Beklagte ausgeht, ein gesetzliches Pfandrecht dar. Entscheidend ist nun, wie dieses Zinsenpfandrecht zu verstehen und auszulegen ist. Wenn es sich mit dem Sinn des Gesetzes vereinbaren lässt, dass auch Schuldbriefzinsen darunter fallen, denen materiell keine Zinsforderung im üblichen Sinne zugrunde liegt, kann einer solchen Auffassung das Beurkundungs- und Eintragungsprinzip nicht entgegengehalten werden. b) In der Berufung wird ferner vorgebracht, die Auffassung der Vorinstanz lasse sich mit der bundesgerichtlichen Rechtsprechung zu Art. 818 Abs. 2 ZGB nicht in Einklang bringen. In BGE 101 III 75 habe das Bundesgericht eine auf einer gültigen Vereinbarung zwischen Gläubiger und Schuldner beruhende echte Zinsforderung von 5,5% nicht in vollem Umfang zur Grundpfanddeckung zugelassen, obwohl der dergestalt berechnete Zinsbetrag absolut kleiner gewesen sei als das maximal zulässige Zinsenpfandrecht von 5% berechnet für drei verfallene Jahreszinsen und den laufenden Zins. Damit habe das Bundesgericht dem Art. 818 ZGB eine über den blossen Schutz der nachfolgenden Grundpfandgläubiger hinausgehende Tragweite zugemessen; es habe die Zinsberechnung zu einem höheren Zinssatz als dem eingetragenen Maximalzinsfuss deshalb nicht zugelassen, weil es an der Pfandsicherung fehle. Eine derart weitreichende Bedeutung kann indessen dem von der Beklagten angeführten Bundesgerichtsentscheid nicht beigemessen werden. Aus dessen - übrigens äusserst knappen - Begründung geht nicht hervor, dass die Schuldbetreibungs- und Konkurskammer bei ihrem Urteil einem andern Gesichtspunkt als jenem des Schutzes nachgehender Grundpfandgläubiger Rechnung tragen wollte. Nur diesem Schutz dient denn auch, wie sich aus dem Gesetzeswortlaut klar ergibt, die Regelung in Art. 818 Abs. 2 ZGB . In BGE 101 III 75 wurde von zwei theoretisch an sich denkbaren Berechnungsarten der pfandgesicherten drei verfallenen Jahreszinsen jener der Vorzug gegeben, die für die nachstehenden BGE 115 II 349 S. 359 Grundpfandgläubiger günstiger war. Aus der Begründung ergibt sich, dass das Bundesgericht den im Gesetz vorgesehenen Zinssatz von 5% als eine Schranke betrachtete, die ohne Zustimmung der nachfolgenden Grundpfandgläubiger keinesfalls überschritten werden darf, sofern nicht von Anfang an ein höherer Zins vereinbart worden ist. Eine darüber hinausgehende Folgerung kann aus diesem Entscheid nicht abgeleitet werden. c) Schliesslich macht die Beklagte noch geltend, dass die Auffassung der Vorinstanz darauf hinausliefe, eine beim Schuldbrief nicht mögliche Maximalhypothek einzuführen, welche für einen wesentlichen Teil des grundpfandgesicherten Betrages weder der öffentlichen Beurkundung noch der Eintragung im Grundbuch bedürfte; durch einfache Abrede könnte nämlich die Pfandhaft des Grundstücks um maximal den vierfachen Betrag des Jahreszinses, berechnet zum Maximalzinsfuss, erweitert werden, und zwar unabhängig von dem für die Kapitalüberlassung effektiv vereinbarten Darlehenszins. Unter einer Maximalhypothek wird ein Pfandrecht verstanden, bei dem im Sinne von Art. 794 Abs. 2 ZGB ein Höchstbetrag angegeben wird, bis zu dem das Grundstück für alle Ansprüche des Gläubigers haftet; eine Erstreckung der Pfandhaft auf Zinsen im Sinne von Art. 818 Abs. 1 Ziff. 3 ZGB ist damit ausgeschlossen ( BGE 75 I 339 f.). Wenn es bei der Sicherungsübereignung von Schuldbriefen zulässig ist, im Rahmen von Art. 818 Abs. 1 Ziff. 3 ZGB Schuldbriefzinsen geltend zu machen, denen keine echte Zinsforderung zugrunde liegt, nähert sich das Schuldbriefpfandrecht in der Tat der Rechtsfigur der Maximalhypothek in dem Sinne an, dass die Schuldbriefzinsen im Grunde genommen der Erhöhung des pfandversicherten Kapitalbetrages dienen. Es liegt nahe, in einem solchen Fall von einer Maximalhypothek im Kleide einer Kapitalhypothek zu sprechen. Ein Nachteil für die andern Grundpfandgläubiger ergibt sich jedoch daraus nicht, da diese ohnehin davon ausgehen müssen, dass Art. 818 Abs. 1 ZGB in solchen Fällen zur Anwendung gelangt. Dass es sich bei den Schuldbriefzinsen nicht um Zinsen im üblichen Sinne handelt, betrifft allein das Verhältnis zwischen dem Schuldner und dem Gläubiger, nicht aber die übrigen Gläubiger. Der Schuldner hat diese Form der Zinsberechnung, die einer Erhöhung des Schuldbriefkapitals gleichkommt, in der Sicherungsvereinbarung jedoch selber akzeptiert. Ob im übrigen der Grundsatz der Beurkundungspflicht und der Grundbucheintragung verletzt sei, wie in der BGE 115 II 349 S. 360 Berufung vorgebracht wird, hängt davon ab, wie Art. 818 Abs. 1 Ziff. 3 ZGB auszulegen ist. Da unter Zinsen im Sinne dieser Bestimmung - wie dargelegt - auch solche verstanden werden dürfen, die es nur rechnungsmässig, nicht aber materiell sind, kann von einer Verletzung der Beurkundungs- und Eintragungspflicht nicht gesprochen werden. Das gleiche gilt in bezug auf die Frage, ob die Zuerkennung der Pfandsicherung für solche Zinsen gegen den Grundsatz des numerus clausus verstosse, der die sachenrechtlichen Einrichtungen beherrscht. d) Im Parteivortrag hat die Beklagte schliesslich noch darauf hingewiesen, dass die Auffassung der Vorinstanz dem Bundesbeschluss vom 6. Oktober 1989 über eine Pfandbelastungsgrenze für nichtlandwirtschaftliche Grundstücke (AS 1989, S. 1978 ff.) zuwiderlaufe. Dieser dringliche Bundesbeschluss sieht vor, dass nichtlandwirtschaftliche Grundstücke während der ersten fünf Jahre seit dem letzten Eigentumserwerb nicht über vier Fünftel des Verkehrswertes mit Pfandrechten dinglich belastet werden dürfen. Die Beklagte macht geltend, dass die Haftung des Grundstückes nach Art. 818 Abs. 1 Ziff. 3 ZGB auch für eine Kapitalschuld beansprucht werden könne, führe bei einem Zinssatz von gegen 7% dazu, dass auch während der ersten fünf Jahre der ganze Verkehrswert grundpfandrechtlich in Anspruch genommen werden könne. Es ist nicht zu verkennen, dass das diesem Fall zugrunde liegende Sicherungskonzept zu gewissen Schwierigkeiten bei der Durchführung des genannten Bundesbeschlusses Anlass geben kann. Das kann aber nicht dazu führen, die Zulässigkeit dieses Sicherungskonzepts als solchen zu verneinen. Die im vorliegenden Rechtsstreit zu beurteilenden Schuldbriefe wurden im übrigen vor dem Inkrafttreten des genannten Bundesbeschlusses errichtet. Dieser bestimmt in Art. 1 Abs. 1 ausdrücklich, dass bereits eingetragene Pfandrechte in ihrem Bestand nicht berührt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